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66">
        <w:rPr>
          <w:rFonts w:ascii="Times New Roman" w:hAnsi="Times New Roman" w:cs="Times New Roman"/>
          <w:b/>
          <w:sz w:val="24"/>
          <w:szCs w:val="24"/>
        </w:rPr>
        <w:t>июн</w:t>
      </w:r>
      <w:r w:rsidR="00E43BBC">
        <w:rPr>
          <w:rFonts w:ascii="Times New Roman" w:hAnsi="Times New Roman" w:cs="Times New Roman"/>
          <w:b/>
          <w:sz w:val="24"/>
          <w:szCs w:val="24"/>
        </w:rPr>
        <w:t>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DB41A4">
        <w:rPr>
          <w:rFonts w:ascii="Times New Roman" w:hAnsi="Times New Roman" w:cs="Times New Roman"/>
          <w:b/>
          <w:sz w:val="24"/>
          <w:szCs w:val="24"/>
        </w:rPr>
        <w:t>4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DB41A4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D64A66" w:rsidRPr="00D64A66">
        <w:rPr>
          <w:rFonts w:ascii="Times New Roman" w:hAnsi="Times New Roman" w:cs="Times New Roman"/>
          <w:b/>
          <w:sz w:val="24"/>
          <w:szCs w:val="24"/>
        </w:rPr>
        <w:t>июн</w:t>
      </w:r>
      <w:r w:rsidR="00E43BBC" w:rsidRPr="00E43BBC">
        <w:rPr>
          <w:rFonts w:ascii="Times New Roman" w:hAnsi="Times New Roman" w:cs="Times New Roman"/>
          <w:b/>
          <w:sz w:val="24"/>
          <w:szCs w:val="24"/>
        </w:rPr>
        <w:t>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10D77">
        <w:rPr>
          <w:rFonts w:ascii="Times New Roman" w:hAnsi="Times New Roman" w:cs="Times New Roman"/>
          <w:b/>
          <w:sz w:val="24"/>
          <w:szCs w:val="24"/>
        </w:rPr>
        <w:t>4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обращени</w:t>
      </w:r>
      <w:r w:rsidR="00866F16">
        <w:rPr>
          <w:rFonts w:ascii="Times New Roman" w:hAnsi="Times New Roman" w:cs="Times New Roman"/>
          <w:sz w:val="24"/>
          <w:szCs w:val="24"/>
        </w:rPr>
        <w:t>й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010D77">
        <w:rPr>
          <w:rFonts w:ascii="Times New Roman" w:hAnsi="Times New Roman" w:cs="Times New Roman"/>
          <w:b/>
          <w:sz w:val="24"/>
          <w:szCs w:val="24"/>
        </w:rPr>
        <w:t>42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7E00CF">
        <w:rPr>
          <w:rFonts w:ascii="Times New Roman" w:hAnsi="Times New Roman" w:cs="Times New Roman"/>
          <w:sz w:val="24"/>
          <w:szCs w:val="24"/>
        </w:rPr>
        <w:t>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010D77">
        <w:rPr>
          <w:rFonts w:ascii="Times New Roman" w:hAnsi="Times New Roman" w:cs="Times New Roman"/>
          <w:sz w:val="24"/>
          <w:szCs w:val="24"/>
        </w:rPr>
        <w:t>3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F0568" w:rsidRPr="0031374A">
        <w:rPr>
          <w:rFonts w:ascii="Times New Roman" w:hAnsi="Times New Roman" w:cs="Times New Roman"/>
          <w:b/>
          <w:sz w:val="24"/>
          <w:szCs w:val="24"/>
        </w:rPr>
        <w:t>1</w:t>
      </w:r>
      <w:r w:rsidR="00010D77">
        <w:rPr>
          <w:rFonts w:ascii="Times New Roman" w:hAnsi="Times New Roman" w:cs="Times New Roman"/>
          <w:b/>
          <w:sz w:val="24"/>
          <w:szCs w:val="24"/>
        </w:rPr>
        <w:t>388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010D77">
        <w:rPr>
          <w:rFonts w:ascii="Times New Roman" w:hAnsi="Times New Roman" w:cs="Times New Roman"/>
          <w:b/>
          <w:sz w:val="24"/>
          <w:szCs w:val="24"/>
        </w:rPr>
        <w:t>42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E43BBC">
        <w:rPr>
          <w:rFonts w:ascii="Times New Roman" w:hAnsi="Times New Roman" w:cs="Times New Roman"/>
          <w:sz w:val="24"/>
          <w:szCs w:val="24"/>
        </w:rPr>
        <w:t>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010D77">
        <w:rPr>
          <w:rFonts w:ascii="Times New Roman" w:hAnsi="Times New Roman" w:cs="Times New Roman"/>
          <w:sz w:val="24"/>
          <w:szCs w:val="24"/>
        </w:rPr>
        <w:t>3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010D77">
        <w:rPr>
          <w:rFonts w:ascii="Times New Roman" w:hAnsi="Times New Roman" w:cs="Times New Roman"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033855">
        <w:rPr>
          <w:rFonts w:ascii="Times New Roman" w:hAnsi="Times New Roman" w:cs="Times New Roman"/>
          <w:sz w:val="24"/>
          <w:szCs w:val="24"/>
        </w:rPr>
        <w:t xml:space="preserve">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010D77">
        <w:rPr>
          <w:rFonts w:ascii="Times New Roman" w:hAnsi="Times New Roman" w:cs="Times New Roman"/>
          <w:sz w:val="24"/>
          <w:szCs w:val="24"/>
        </w:rPr>
        <w:t>3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033855">
        <w:rPr>
          <w:rFonts w:ascii="Times New Roman" w:hAnsi="Times New Roman" w:cs="Times New Roman"/>
          <w:sz w:val="24"/>
          <w:szCs w:val="24"/>
        </w:rPr>
        <w:t xml:space="preserve">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010D77">
        <w:rPr>
          <w:rFonts w:ascii="Times New Roman" w:hAnsi="Times New Roman" w:cs="Times New Roman"/>
          <w:sz w:val="24"/>
          <w:szCs w:val="24"/>
        </w:rPr>
        <w:t>3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 w:rsidRPr="00104D5C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104D5C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104D5C">
        <w:rPr>
          <w:rFonts w:ascii="Times New Roman" w:hAnsi="Times New Roman" w:cs="Times New Roman"/>
          <w:sz w:val="24"/>
          <w:szCs w:val="24"/>
        </w:rPr>
        <w:t xml:space="preserve"> на</w:t>
      </w:r>
      <w:r w:rsidR="00ED62CC">
        <w:rPr>
          <w:rFonts w:ascii="Times New Roman" w:hAnsi="Times New Roman" w:cs="Times New Roman"/>
          <w:sz w:val="24"/>
          <w:szCs w:val="24"/>
        </w:rPr>
        <w:t xml:space="preserve"> </w:t>
      </w:r>
      <w:r w:rsidR="00ED62CC" w:rsidRPr="00ED62CC">
        <w:rPr>
          <w:rFonts w:ascii="Times New Roman" w:hAnsi="Times New Roman" w:cs="Times New Roman"/>
          <w:sz w:val="24"/>
          <w:szCs w:val="24"/>
        </w:rPr>
        <w:t>2</w:t>
      </w:r>
      <w:r w:rsidR="00104D5C" w:rsidRPr="00ED62CC">
        <w:rPr>
          <w:rFonts w:ascii="Times New Roman" w:hAnsi="Times New Roman" w:cs="Times New Roman"/>
          <w:sz w:val="24"/>
          <w:szCs w:val="24"/>
        </w:rPr>
        <w:t>,</w:t>
      </w:r>
      <w:r w:rsidR="00ED62CC" w:rsidRPr="00ED62CC">
        <w:rPr>
          <w:rFonts w:ascii="Times New Roman" w:hAnsi="Times New Roman" w:cs="Times New Roman"/>
          <w:sz w:val="24"/>
          <w:szCs w:val="24"/>
        </w:rPr>
        <w:t>8</w:t>
      </w:r>
      <w:r w:rsidR="00866F16" w:rsidRPr="00ED62CC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ED62CC">
        <w:rPr>
          <w:rFonts w:ascii="Times New Roman" w:hAnsi="Times New Roman" w:cs="Times New Roman"/>
          <w:sz w:val="24"/>
          <w:szCs w:val="24"/>
        </w:rPr>
        <w:t>%</w:t>
      </w:r>
      <w:r w:rsidR="00762876" w:rsidRPr="00ED62CC">
        <w:rPr>
          <w:rFonts w:ascii="Times New Roman" w:hAnsi="Times New Roman" w:cs="Times New Roman"/>
          <w:sz w:val="24"/>
          <w:szCs w:val="24"/>
        </w:rPr>
        <w:t xml:space="preserve"> (на </w:t>
      </w:r>
      <w:r w:rsidR="00010D77" w:rsidRPr="00ED62CC">
        <w:rPr>
          <w:rFonts w:ascii="Times New Roman" w:hAnsi="Times New Roman" w:cs="Times New Roman"/>
          <w:sz w:val="24"/>
          <w:szCs w:val="24"/>
        </w:rPr>
        <w:t>40</w:t>
      </w:r>
      <w:r w:rsidR="00762876" w:rsidRPr="00ED62CC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ED62CC">
        <w:rPr>
          <w:rFonts w:ascii="Times New Roman" w:hAnsi="Times New Roman" w:cs="Times New Roman"/>
          <w:sz w:val="24"/>
          <w:szCs w:val="24"/>
        </w:rPr>
        <w:t>о</w:t>
      </w:r>
      <w:r w:rsidR="00030D0D" w:rsidRPr="00104D5C">
        <w:rPr>
          <w:rFonts w:ascii="Times New Roman" w:hAnsi="Times New Roman" w:cs="Times New Roman"/>
          <w:sz w:val="24"/>
          <w:szCs w:val="24"/>
        </w:rPr>
        <w:t>бращени</w:t>
      </w:r>
      <w:r w:rsidR="00010D77">
        <w:rPr>
          <w:rFonts w:ascii="Times New Roman" w:hAnsi="Times New Roman" w:cs="Times New Roman"/>
          <w:sz w:val="24"/>
          <w:szCs w:val="24"/>
        </w:rPr>
        <w:t>й</w:t>
      </w:r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A66" w:rsidRPr="00B57843" w:rsidRDefault="00D64A66" w:rsidP="00D64A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5B23" w:rsidRDefault="000A66F2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4A363EB" wp14:editId="3B9E8040">
            <wp:extent cx="5433060" cy="3832860"/>
            <wp:effectExtent l="0" t="0" r="15240" b="1524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75EC8" w:rsidRDefault="00A75EC8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5256D">
        <w:rPr>
          <w:rFonts w:ascii="Times New Roman" w:hAnsi="Times New Roman" w:cs="Times New Roman"/>
          <w:b/>
          <w:sz w:val="24"/>
          <w:szCs w:val="24"/>
        </w:rPr>
        <w:t>1</w:t>
      </w:r>
      <w:r w:rsidR="00ED62CC">
        <w:rPr>
          <w:rFonts w:ascii="Times New Roman" w:hAnsi="Times New Roman" w:cs="Times New Roman"/>
          <w:b/>
          <w:sz w:val="24"/>
          <w:szCs w:val="24"/>
        </w:rPr>
        <w:t>42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ED62CC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2CC" w:rsidRDefault="000A66F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D0743D">
            <wp:extent cx="6273165" cy="26092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62CC" w:rsidRDefault="00ED62CC" w:rsidP="00ED62CC">
      <w:pPr>
        <w:rPr>
          <w:rFonts w:ascii="Times New Roman" w:hAnsi="Times New Roman" w:cs="Times New Roman"/>
          <w:sz w:val="28"/>
          <w:szCs w:val="28"/>
        </w:rPr>
      </w:pPr>
    </w:p>
    <w:p w:rsidR="00437222" w:rsidRPr="00ED62CC" w:rsidRDefault="00ED62CC" w:rsidP="00ED62CC">
      <w:pPr>
        <w:tabs>
          <w:tab w:val="left" w:pos="2808"/>
        </w:tabs>
        <w:rPr>
          <w:rFonts w:ascii="Times New Roman" w:hAnsi="Times New Roman" w:cs="Times New Roman"/>
          <w:sz w:val="28"/>
          <w:szCs w:val="28"/>
        </w:rPr>
        <w:sectPr w:rsidR="00437222" w:rsidRPr="00ED62CC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0A66F2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352E1637">
            <wp:extent cx="5468620" cy="29203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ED62CC">
        <w:rPr>
          <w:rFonts w:ascii="Times New Roman" w:hAnsi="Times New Roman" w:cs="Times New Roman"/>
          <w:sz w:val="24"/>
          <w:szCs w:val="24"/>
        </w:rPr>
        <w:t xml:space="preserve">в июне 2024 года 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ED62CC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ED62CC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D64A66">
        <w:rPr>
          <w:rFonts w:ascii="Times New Roman" w:hAnsi="Times New Roman" w:cs="Times New Roman"/>
          <w:sz w:val="24"/>
          <w:szCs w:val="24"/>
        </w:rPr>
        <w:t>июн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ED62CC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BFC" w:rsidRDefault="007C6BFC" w:rsidP="00266A50">
      <w:pPr>
        <w:spacing w:after="0" w:line="240" w:lineRule="auto"/>
      </w:pPr>
      <w:r>
        <w:separator/>
      </w:r>
    </w:p>
  </w:endnote>
  <w:endnote w:type="continuationSeparator" w:id="0">
    <w:p w:rsidR="007C6BFC" w:rsidRDefault="007C6BFC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BFC" w:rsidRDefault="007C6BFC" w:rsidP="00266A50">
      <w:pPr>
        <w:spacing w:after="0" w:line="240" w:lineRule="auto"/>
      </w:pPr>
      <w:r>
        <w:separator/>
      </w:r>
    </w:p>
  </w:footnote>
  <w:footnote w:type="continuationSeparator" w:id="0">
    <w:p w:rsidR="007C6BFC" w:rsidRDefault="007C6BFC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10D77"/>
    <w:rsid w:val="0002593E"/>
    <w:rsid w:val="00030D0D"/>
    <w:rsid w:val="00033855"/>
    <w:rsid w:val="00080FC1"/>
    <w:rsid w:val="00083774"/>
    <w:rsid w:val="000A66F2"/>
    <w:rsid w:val="000E2D1B"/>
    <w:rsid w:val="00104D5C"/>
    <w:rsid w:val="00136856"/>
    <w:rsid w:val="00146D13"/>
    <w:rsid w:val="0015256D"/>
    <w:rsid w:val="00152883"/>
    <w:rsid w:val="00160591"/>
    <w:rsid w:val="0019122E"/>
    <w:rsid w:val="00196C37"/>
    <w:rsid w:val="001F0568"/>
    <w:rsid w:val="002133CB"/>
    <w:rsid w:val="00233736"/>
    <w:rsid w:val="00266A50"/>
    <w:rsid w:val="00290E37"/>
    <w:rsid w:val="00307BBE"/>
    <w:rsid w:val="0031374A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04CF3"/>
    <w:rsid w:val="00535ADD"/>
    <w:rsid w:val="005942D2"/>
    <w:rsid w:val="005C557F"/>
    <w:rsid w:val="005D0BA2"/>
    <w:rsid w:val="005D1E55"/>
    <w:rsid w:val="005D4522"/>
    <w:rsid w:val="005E161B"/>
    <w:rsid w:val="005F6CC3"/>
    <w:rsid w:val="00652ED1"/>
    <w:rsid w:val="0068330F"/>
    <w:rsid w:val="006C191B"/>
    <w:rsid w:val="006C1A7B"/>
    <w:rsid w:val="006C4C9C"/>
    <w:rsid w:val="006F4229"/>
    <w:rsid w:val="0071139C"/>
    <w:rsid w:val="00762876"/>
    <w:rsid w:val="00793A42"/>
    <w:rsid w:val="007C6BFC"/>
    <w:rsid w:val="007E00CF"/>
    <w:rsid w:val="00807A18"/>
    <w:rsid w:val="00817C4C"/>
    <w:rsid w:val="008377DA"/>
    <w:rsid w:val="0084720A"/>
    <w:rsid w:val="0084766D"/>
    <w:rsid w:val="00866F16"/>
    <w:rsid w:val="00897171"/>
    <w:rsid w:val="008E4A99"/>
    <w:rsid w:val="008F64EA"/>
    <w:rsid w:val="00921CF1"/>
    <w:rsid w:val="00945335"/>
    <w:rsid w:val="00947671"/>
    <w:rsid w:val="009D0FC9"/>
    <w:rsid w:val="009F22C4"/>
    <w:rsid w:val="00A54230"/>
    <w:rsid w:val="00A75EC8"/>
    <w:rsid w:val="00A7759E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B5B23"/>
    <w:rsid w:val="00BE772A"/>
    <w:rsid w:val="00C2502A"/>
    <w:rsid w:val="00C510B1"/>
    <w:rsid w:val="00C7072B"/>
    <w:rsid w:val="00C87CA2"/>
    <w:rsid w:val="00CB6016"/>
    <w:rsid w:val="00CE2952"/>
    <w:rsid w:val="00D22EE3"/>
    <w:rsid w:val="00D23A6E"/>
    <w:rsid w:val="00D64A66"/>
    <w:rsid w:val="00D77522"/>
    <w:rsid w:val="00DA28B2"/>
    <w:rsid w:val="00DB41A4"/>
    <w:rsid w:val="00DC5A19"/>
    <w:rsid w:val="00DE583E"/>
    <w:rsid w:val="00DE70DB"/>
    <w:rsid w:val="00E20575"/>
    <w:rsid w:val="00E43BBC"/>
    <w:rsid w:val="00E81849"/>
    <w:rsid w:val="00E95365"/>
    <w:rsid w:val="00E972DE"/>
    <w:rsid w:val="00EB1035"/>
    <w:rsid w:val="00EC1A94"/>
    <w:rsid w:val="00EC619C"/>
    <w:rsid w:val="00ED1216"/>
    <w:rsid w:val="00ED62CC"/>
    <w:rsid w:val="00F159E4"/>
    <w:rsid w:val="00F24EB2"/>
    <w:rsid w:val="00F37EBA"/>
    <w:rsid w:val="00FA6312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D182D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aster\Desktop\&#1040;&#1053;&#1040;&#1051;&#1048;&#1058;&#1048;&#1050;&#1040;\diagramma_iyun_2023%20(6)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baseline="0"/>
              <a:t>Структура и количество обращений, поступивших в адрес инспекции гостехнадзора Новосибирской области в июне 2024 года в сравнении 
с июнем 2023 года</a:t>
            </a:r>
            <a:endParaRPr lang="ru-RU" sz="1050"/>
          </a:p>
        </c:rich>
      </c:tx>
      <c:layout>
        <c:manualLayout>
          <c:xMode val="edge"/>
          <c:yMode val="edge"/>
          <c:x val="0.11555753111506223"/>
          <c:y val="2.86397102946624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800" b="1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Лист1!$B$4</c:f>
              <c:strCache>
                <c:ptCount val="1"/>
                <c:pt idx="0">
                  <c:v>Июнь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Лист1!$C$4:$G$4</c:f>
              <c:numCache>
                <c:formatCode>General</c:formatCode>
                <c:ptCount val="5"/>
                <c:pt idx="0">
                  <c:v>1428</c:v>
                </c:pt>
                <c:pt idx="1">
                  <c:v>1428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29-4FF2-A4EE-387173A38906}"/>
            </c:ext>
          </c:extLst>
        </c:ser>
        <c:ser>
          <c:idx val="2"/>
          <c:order val="1"/>
          <c:tx>
            <c:strRef>
              <c:f>Лист1!$B$5</c:f>
              <c:strCache>
                <c:ptCount val="1"/>
                <c:pt idx="0">
                  <c:v>Июнь 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Лист1!$C$3:$G$3</c:f>
              <c:strCache>
                <c:ptCount val="5"/>
                <c:pt idx="0">
                  <c:v>Всего обращений </c:v>
                </c:pt>
                <c:pt idx="1">
                  <c:v>Письменные обращения</c:v>
                </c:pt>
                <c:pt idx="2">
                  <c:v>Личный прием начальника инспекции</c:v>
                </c:pt>
                <c:pt idx="3">
                  <c:v>Обращение в справочную информационную службу</c:v>
                </c:pt>
                <c:pt idx="4">
                  <c:v>СМС обращения</c:v>
                </c:pt>
              </c:strCache>
            </c:strRef>
          </c:cat>
          <c:val>
            <c:numRef>
              <c:f>Лист1!$C$5:$G$5</c:f>
              <c:numCache>
                <c:formatCode>General</c:formatCode>
                <c:ptCount val="5"/>
                <c:pt idx="0">
                  <c:v>1388</c:v>
                </c:pt>
                <c:pt idx="1">
                  <c:v>1388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29-4FF2-A4EE-387173A389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24577711"/>
        <c:axId val="1"/>
      </c:barChart>
      <c:catAx>
        <c:axId val="1924577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Количество обращенийй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457771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Тема Office">
  <a:themeElements>
    <a:clrScheme name="Зеленый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4</cp:revision>
  <dcterms:created xsi:type="dcterms:W3CDTF">2024-07-04T07:16:00Z</dcterms:created>
  <dcterms:modified xsi:type="dcterms:W3CDTF">2024-07-04T07:46:00Z</dcterms:modified>
</cp:coreProperties>
</file>